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AD" w:rsidRDefault="009C3D1A">
      <w:pPr>
        <w:widowControl/>
        <w:spacing w:line="360" w:lineRule="auto"/>
        <w:ind w:firstLineChars="250" w:firstLine="600"/>
        <w:jc w:val="center"/>
        <w:rPr>
          <w:rFonts w:ascii="华文宋体" w:eastAsia="华文宋体" w:hAnsi="华文宋体"/>
          <w:sz w:val="24"/>
        </w:rPr>
      </w:pPr>
      <w:r>
        <w:rPr>
          <w:rFonts w:ascii="华文宋体" w:eastAsia="华文宋体" w:hAnsi="华文宋体" w:hint="eastAsia"/>
          <w:sz w:val="24"/>
        </w:rPr>
        <w:t>采购需求</w:t>
      </w:r>
    </w:p>
    <w:p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A72611" w:rsidRDefault="00A72611">
      <w:pPr>
        <w:widowControl/>
        <w:spacing w:line="360" w:lineRule="auto"/>
        <w:ind w:leftChars="150" w:left="315"/>
        <w:jc w:val="left"/>
        <w:rPr>
          <w:rFonts w:ascii="华文宋体" w:eastAsia="华文宋体" w:hAnsi="华文宋体" w:cs="宋体" w:hint="eastAsia"/>
          <w:kern w:val="0"/>
          <w:sz w:val="24"/>
          <w:szCs w:val="24"/>
        </w:rPr>
      </w:pPr>
      <w:r w:rsidRPr="00A72611">
        <w:rPr>
          <w:rFonts w:ascii="华文宋体" w:eastAsia="华文宋体" w:hAnsi="华文宋体" w:cs="宋体" w:hint="eastAsia"/>
          <w:kern w:val="0"/>
          <w:sz w:val="24"/>
          <w:szCs w:val="24"/>
        </w:rPr>
        <w:t>上海市经济管理学校食堂锅炉维修及加装熄火装置</w:t>
      </w:r>
    </w:p>
    <w:p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rsidR="009457AD" w:rsidRDefault="00A72611" w:rsidP="00A72611">
      <w:pPr>
        <w:widowControl/>
        <w:spacing w:line="360" w:lineRule="auto"/>
        <w:ind w:firstLineChars="150" w:firstLine="360"/>
        <w:jc w:val="left"/>
        <w:rPr>
          <w:rFonts w:ascii="华文宋体" w:eastAsia="华文宋体" w:hAnsi="华文宋体"/>
          <w:sz w:val="24"/>
        </w:rPr>
      </w:pPr>
      <w:r w:rsidRPr="00A72611">
        <w:rPr>
          <w:rFonts w:ascii="华文宋体" w:eastAsia="华文宋体" w:hAnsi="华文宋体"/>
          <w:sz w:val="24"/>
        </w:rPr>
        <w:t>3.4万元</w:t>
      </w:r>
      <w:bookmarkStart w:id="0" w:name="_GoBack"/>
      <w:bookmarkEnd w:id="0"/>
      <w:r w:rsidR="009C3D1A">
        <w:rPr>
          <w:rFonts w:ascii="华文宋体" w:eastAsia="华文宋体" w:hAnsi="华文宋体" w:hint="eastAsia"/>
          <w:sz w:val="24"/>
        </w:rPr>
        <w:t>（报价高于项目预算视为无效投标）</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8.本项目不接受联合体报价。</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四、服务要求</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t>1、服务内容、要求、质量：</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lastRenderedPageBreak/>
        <w:t>1.1检查与维护：包括锅炉本体、燃烧设备、水处理设备等的全面检查，确保设备正常运行。</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t>1.2故障排查与修复：对锅炉运行中出现的故障进行及时排查，并采取有效措施进行修复，确保设备尽快恢复正常运行。</w:t>
      </w:r>
    </w:p>
    <w:p w:rsid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t>1.3维修清单</w:t>
      </w:r>
    </w:p>
    <w:tbl>
      <w:tblPr>
        <w:tblStyle w:val="a6"/>
        <w:tblW w:w="0" w:type="auto"/>
        <w:tblLook w:val="04A0" w:firstRow="1" w:lastRow="0" w:firstColumn="1" w:lastColumn="0" w:noHBand="0" w:noVBand="1"/>
      </w:tblPr>
      <w:tblGrid>
        <w:gridCol w:w="912"/>
        <w:gridCol w:w="2101"/>
        <w:gridCol w:w="3237"/>
        <w:gridCol w:w="912"/>
        <w:gridCol w:w="912"/>
      </w:tblGrid>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序号</w:t>
            </w:r>
          </w:p>
        </w:tc>
        <w:tc>
          <w:tcPr>
            <w:tcW w:w="2101" w:type="dxa"/>
            <w:noWrap/>
            <w:hideMark/>
          </w:tcPr>
          <w:p w:rsidR="00950EE9" w:rsidRPr="009C683A" w:rsidRDefault="00950EE9" w:rsidP="00C930B6">
            <w:pPr>
              <w:widowControl/>
              <w:spacing w:line="340" w:lineRule="atLeast"/>
              <w:rPr>
                <w:kern w:val="0"/>
              </w:rPr>
            </w:pPr>
            <w:r w:rsidRPr="009C683A">
              <w:rPr>
                <w:rFonts w:hint="eastAsia"/>
                <w:kern w:val="0"/>
              </w:rPr>
              <w:t>名称</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原因，材料</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数量</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单位</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1</w:t>
            </w:r>
          </w:p>
        </w:tc>
        <w:tc>
          <w:tcPr>
            <w:tcW w:w="2101" w:type="dxa"/>
            <w:noWrap/>
            <w:hideMark/>
          </w:tcPr>
          <w:p w:rsidR="00950EE9" w:rsidRPr="009C683A" w:rsidRDefault="00950EE9" w:rsidP="00C930B6">
            <w:pPr>
              <w:widowControl/>
              <w:spacing w:line="340" w:lineRule="atLeast"/>
              <w:rPr>
                <w:kern w:val="0"/>
              </w:rPr>
            </w:pPr>
            <w:r w:rsidRPr="009C683A">
              <w:rPr>
                <w:rFonts w:hint="eastAsia"/>
                <w:kern w:val="0"/>
              </w:rPr>
              <w:t>保温车更换发热管</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40公分长定制</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6</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根</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2</w:t>
            </w:r>
          </w:p>
        </w:tc>
        <w:tc>
          <w:tcPr>
            <w:tcW w:w="2101" w:type="dxa"/>
            <w:noWrap/>
            <w:hideMark/>
          </w:tcPr>
          <w:p w:rsidR="00950EE9" w:rsidRPr="009C683A" w:rsidRDefault="00950EE9" w:rsidP="00C930B6">
            <w:pPr>
              <w:widowControl/>
              <w:spacing w:line="340" w:lineRule="atLeast"/>
              <w:rPr>
                <w:kern w:val="0"/>
              </w:rPr>
            </w:pPr>
            <w:r w:rsidRPr="009C683A">
              <w:rPr>
                <w:rFonts w:hint="eastAsia"/>
                <w:kern w:val="0"/>
              </w:rPr>
              <w:t>温控器</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380v</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6</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只</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3</w:t>
            </w:r>
          </w:p>
        </w:tc>
        <w:tc>
          <w:tcPr>
            <w:tcW w:w="2101" w:type="dxa"/>
            <w:noWrap/>
            <w:hideMark/>
          </w:tcPr>
          <w:p w:rsidR="00950EE9" w:rsidRPr="009C683A" w:rsidRDefault="00950EE9" w:rsidP="00C930B6">
            <w:pPr>
              <w:widowControl/>
              <w:spacing w:line="340" w:lineRule="atLeast"/>
              <w:rPr>
                <w:kern w:val="0"/>
              </w:rPr>
            </w:pPr>
            <w:r w:rsidRPr="009C683A">
              <w:rPr>
                <w:rFonts w:hint="eastAsia"/>
                <w:kern w:val="0"/>
              </w:rPr>
              <w:t>点火棒</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 xml:space="preserve">　</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7</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根</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4</w:t>
            </w:r>
          </w:p>
        </w:tc>
        <w:tc>
          <w:tcPr>
            <w:tcW w:w="2101" w:type="dxa"/>
            <w:noWrap/>
            <w:hideMark/>
          </w:tcPr>
          <w:p w:rsidR="00950EE9" w:rsidRPr="009C683A" w:rsidRDefault="00950EE9" w:rsidP="00C930B6">
            <w:pPr>
              <w:widowControl/>
              <w:spacing w:line="340" w:lineRule="atLeast"/>
              <w:rPr>
                <w:kern w:val="0"/>
              </w:rPr>
            </w:pPr>
            <w:r w:rsidRPr="009C683A">
              <w:rPr>
                <w:rFonts w:hint="eastAsia"/>
                <w:kern w:val="0"/>
              </w:rPr>
              <w:t>金属软管</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 xml:space="preserve">　</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7</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根</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5</w:t>
            </w:r>
          </w:p>
        </w:tc>
        <w:tc>
          <w:tcPr>
            <w:tcW w:w="2101" w:type="dxa"/>
            <w:hideMark/>
          </w:tcPr>
          <w:p w:rsidR="00950EE9" w:rsidRPr="009C683A" w:rsidRDefault="00950EE9" w:rsidP="00C930B6">
            <w:pPr>
              <w:widowControl/>
              <w:spacing w:line="340" w:lineRule="atLeast"/>
              <w:rPr>
                <w:kern w:val="0"/>
              </w:rPr>
            </w:pPr>
            <w:r w:rsidRPr="009C683A">
              <w:rPr>
                <w:rFonts w:hint="eastAsia"/>
                <w:kern w:val="0"/>
              </w:rPr>
              <w:t>双头大锅灶</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加装熄火保护</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4</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只</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6</w:t>
            </w:r>
          </w:p>
        </w:tc>
        <w:tc>
          <w:tcPr>
            <w:tcW w:w="2101" w:type="dxa"/>
            <w:hideMark/>
          </w:tcPr>
          <w:p w:rsidR="00950EE9" w:rsidRPr="009C683A" w:rsidRDefault="00950EE9" w:rsidP="00C930B6">
            <w:pPr>
              <w:widowControl/>
              <w:spacing w:line="340" w:lineRule="atLeast"/>
              <w:rPr>
                <w:kern w:val="0"/>
              </w:rPr>
            </w:pPr>
            <w:r w:rsidRPr="009C683A">
              <w:rPr>
                <w:rFonts w:hint="eastAsia"/>
                <w:kern w:val="0"/>
              </w:rPr>
              <w:t>单头大锅灶</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加装熄火保护</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1</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只</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7</w:t>
            </w:r>
          </w:p>
        </w:tc>
        <w:tc>
          <w:tcPr>
            <w:tcW w:w="2101" w:type="dxa"/>
            <w:hideMark/>
          </w:tcPr>
          <w:p w:rsidR="00950EE9" w:rsidRPr="009C683A" w:rsidRDefault="00950EE9" w:rsidP="00C930B6">
            <w:pPr>
              <w:widowControl/>
              <w:spacing w:line="340" w:lineRule="atLeast"/>
              <w:rPr>
                <w:kern w:val="0"/>
              </w:rPr>
            </w:pPr>
            <w:r w:rsidRPr="009C683A">
              <w:rPr>
                <w:rFonts w:hint="eastAsia"/>
                <w:kern w:val="0"/>
              </w:rPr>
              <w:t>单头矮脚炉</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加装熄火保护</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1</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只</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8</w:t>
            </w:r>
          </w:p>
        </w:tc>
        <w:tc>
          <w:tcPr>
            <w:tcW w:w="2101" w:type="dxa"/>
            <w:hideMark/>
          </w:tcPr>
          <w:p w:rsidR="00950EE9" w:rsidRPr="009C683A" w:rsidRDefault="00950EE9" w:rsidP="00C930B6">
            <w:pPr>
              <w:widowControl/>
              <w:spacing w:line="340" w:lineRule="atLeast"/>
              <w:rPr>
                <w:kern w:val="0"/>
              </w:rPr>
            </w:pPr>
            <w:r w:rsidRPr="009C683A">
              <w:rPr>
                <w:rFonts w:hint="eastAsia"/>
                <w:kern w:val="0"/>
              </w:rPr>
              <w:t>双头炒灶</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加装熄火保护</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2</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只</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9</w:t>
            </w:r>
          </w:p>
        </w:tc>
        <w:tc>
          <w:tcPr>
            <w:tcW w:w="2101" w:type="dxa"/>
            <w:hideMark/>
          </w:tcPr>
          <w:p w:rsidR="00950EE9" w:rsidRPr="009C683A" w:rsidRDefault="00950EE9" w:rsidP="00C930B6">
            <w:pPr>
              <w:widowControl/>
              <w:spacing w:line="340" w:lineRule="atLeast"/>
              <w:rPr>
                <w:kern w:val="0"/>
              </w:rPr>
            </w:pPr>
            <w:r w:rsidRPr="009C683A">
              <w:rPr>
                <w:rFonts w:hint="eastAsia"/>
                <w:kern w:val="0"/>
              </w:rPr>
              <w:t>燃气蒸饭柜</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加装熄火保护</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3</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只</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10</w:t>
            </w:r>
          </w:p>
        </w:tc>
        <w:tc>
          <w:tcPr>
            <w:tcW w:w="2101" w:type="dxa"/>
            <w:hideMark/>
          </w:tcPr>
          <w:p w:rsidR="00950EE9" w:rsidRPr="009C683A" w:rsidRDefault="00950EE9" w:rsidP="00C930B6">
            <w:pPr>
              <w:widowControl/>
              <w:spacing w:line="340" w:lineRule="atLeast"/>
              <w:rPr>
                <w:kern w:val="0"/>
              </w:rPr>
            </w:pPr>
            <w:r w:rsidRPr="009C683A">
              <w:rPr>
                <w:rFonts w:hint="eastAsia"/>
                <w:kern w:val="0"/>
              </w:rPr>
              <w:t>大锅灶炉芯</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更换</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5</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只</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11</w:t>
            </w:r>
          </w:p>
        </w:tc>
        <w:tc>
          <w:tcPr>
            <w:tcW w:w="2101" w:type="dxa"/>
            <w:hideMark/>
          </w:tcPr>
          <w:p w:rsidR="00950EE9" w:rsidRPr="009C683A" w:rsidRDefault="00950EE9" w:rsidP="00C930B6">
            <w:pPr>
              <w:widowControl/>
              <w:spacing w:line="340" w:lineRule="atLeast"/>
              <w:rPr>
                <w:kern w:val="0"/>
              </w:rPr>
            </w:pPr>
            <w:r w:rsidRPr="009C683A">
              <w:rPr>
                <w:rFonts w:hint="eastAsia"/>
                <w:kern w:val="0"/>
              </w:rPr>
              <w:t>增加二次阀门</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加装</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8</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只</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lastRenderedPageBreak/>
              <w:t>12</w:t>
            </w:r>
          </w:p>
        </w:tc>
        <w:tc>
          <w:tcPr>
            <w:tcW w:w="2101" w:type="dxa"/>
            <w:noWrap/>
            <w:hideMark/>
          </w:tcPr>
          <w:p w:rsidR="00950EE9" w:rsidRPr="009C683A" w:rsidRDefault="00950EE9" w:rsidP="00C930B6">
            <w:pPr>
              <w:widowControl/>
              <w:spacing w:line="340" w:lineRule="atLeast"/>
              <w:rPr>
                <w:kern w:val="0"/>
              </w:rPr>
            </w:pPr>
            <w:r w:rsidRPr="009C683A">
              <w:rPr>
                <w:rFonts w:hint="eastAsia"/>
                <w:kern w:val="0"/>
              </w:rPr>
              <w:t>人工维修费</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 xml:space="preserve">　</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1</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项</w:t>
            </w:r>
          </w:p>
        </w:tc>
      </w:tr>
      <w:tr w:rsidR="00950EE9" w:rsidRPr="009C683A" w:rsidTr="00C930B6">
        <w:trPr>
          <w:trHeight w:val="880"/>
        </w:trPr>
        <w:tc>
          <w:tcPr>
            <w:tcW w:w="912" w:type="dxa"/>
            <w:noWrap/>
            <w:hideMark/>
          </w:tcPr>
          <w:p w:rsidR="00950EE9" w:rsidRPr="009C683A" w:rsidRDefault="00950EE9" w:rsidP="00C930B6">
            <w:pPr>
              <w:widowControl/>
              <w:spacing w:line="340" w:lineRule="atLeast"/>
              <w:rPr>
                <w:kern w:val="0"/>
              </w:rPr>
            </w:pPr>
            <w:r w:rsidRPr="009C683A">
              <w:rPr>
                <w:rFonts w:hint="eastAsia"/>
                <w:kern w:val="0"/>
              </w:rPr>
              <w:t>13</w:t>
            </w:r>
          </w:p>
        </w:tc>
        <w:tc>
          <w:tcPr>
            <w:tcW w:w="2101" w:type="dxa"/>
            <w:hideMark/>
          </w:tcPr>
          <w:p w:rsidR="00950EE9" w:rsidRPr="009C683A" w:rsidRDefault="00950EE9" w:rsidP="00C930B6">
            <w:pPr>
              <w:widowControl/>
              <w:spacing w:line="340" w:lineRule="atLeast"/>
              <w:rPr>
                <w:kern w:val="0"/>
              </w:rPr>
            </w:pPr>
            <w:r w:rsidRPr="009C683A">
              <w:rPr>
                <w:rFonts w:hint="eastAsia"/>
                <w:kern w:val="0"/>
              </w:rPr>
              <w:t>辅料费用</w:t>
            </w:r>
          </w:p>
        </w:tc>
        <w:tc>
          <w:tcPr>
            <w:tcW w:w="3237" w:type="dxa"/>
            <w:noWrap/>
            <w:hideMark/>
          </w:tcPr>
          <w:p w:rsidR="00950EE9" w:rsidRPr="009C683A" w:rsidRDefault="00950EE9" w:rsidP="00C930B6">
            <w:pPr>
              <w:widowControl/>
              <w:spacing w:line="340" w:lineRule="atLeast"/>
              <w:rPr>
                <w:kern w:val="0"/>
              </w:rPr>
            </w:pPr>
            <w:r w:rsidRPr="009C683A">
              <w:rPr>
                <w:rFonts w:hint="eastAsia"/>
                <w:kern w:val="0"/>
              </w:rPr>
              <w:t xml:space="preserve">　</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1</w:t>
            </w:r>
          </w:p>
        </w:tc>
        <w:tc>
          <w:tcPr>
            <w:tcW w:w="912" w:type="dxa"/>
            <w:noWrap/>
            <w:hideMark/>
          </w:tcPr>
          <w:p w:rsidR="00950EE9" w:rsidRPr="009C683A" w:rsidRDefault="00950EE9" w:rsidP="00C930B6">
            <w:pPr>
              <w:widowControl/>
              <w:spacing w:line="340" w:lineRule="atLeast"/>
              <w:rPr>
                <w:kern w:val="0"/>
              </w:rPr>
            </w:pPr>
            <w:r w:rsidRPr="009C683A">
              <w:rPr>
                <w:rFonts w:hint="eastAsia"/>
                <w:kern w:val="0"/>
              </w:rPr>
              <w:t>项</w:t>
            </w:r>
          </w:p>
        </w:tc>
      </w:tr>
    </w:tbl>
    <w:p w:rsidR="00950EE9" w:rsidRPr="00950EE9" w:rsidRDefault="00950EE9" w:rsidP="00950EE9">
      <w:pPr>
        <w:pStyle w:val="a0"/>
        <w:rPr>
          <w:lang w:val="en-US"/>
        </w:rPr>
      </w:pP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t>1.4维修服务应由具备相应资质的专业人员进行，确保维修质量和安全。维修过程中应做好详细记录，包括维修时间、维修内容、维修人员等信息，以备后续查阅</w:t>
      </w:r>
      <w:r w:rsidR="006110AB">
        <w:rPr>
          <w:rFonts w:ascii="华文宋体" w:eastAsia="华文宋体" w:hAnsi="华文宋体" w:hint="eastAsia"/>
          <w:sz w:val="24"/>
        </w:rPr>
        <w:t>，</w:t>
      </w:r>
      <w:r w:rsidR="006110AB">
        <w:rPr>
          <w:rFonts w:ascii="华文宋体" w:eastAsia="华文宋体" w:hAnsi="华文宋体"/>
          <w:sz w:val="24"/>
        </w:rPr>
        <w:t>维修要求确保食堂设备能安全正常运行</w:t>
      </w:r>
      <w:r w:rsidR="006110AB">
        <w:rPr>
          <w:rFonts w:ascii="华文宋体" w:eastAsia="华文宋体" w:hAnsi="华文宋体" w:hint="eastAsia"/>
          <w:sz w:val="24"/>
        </w:rPr>
        <w:t>。</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t>1.5维修质量必须符合国家相关安全质量要求。</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t>1.6 熄火装置应选用符合国家安全标准的产品，安装过程中应确保安全可靠。熄火装置应与食堂锅炉系统兼容，不影响锅炉的正常运行。提供熄火装置的售后服务，包括定期检查和维修等，确保装置长期稳定运行。</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t>2、交付成果</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t>2.1维修合格后能确保食堂设备安全正常运行，为师生提供安全健康的餐食。</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五、其它要求</w:t>
      </w:r>
    </w:p>
    <w:p w:rsidR="00CA25B1" w:rsidRPr="00CA25B1" w:rsidRDefault="00950EE9" w:rsidP="00CA25B1">
      <w:pPr>
        <w:widowControl/>
        <w:jc w:val="left"/>
        <w:rPr>
          <w:rFonts w:ascii="华文宋体" w:eastAsia="华文宋体" w:hAnsi="华文宋体"/>
          <w:sz w:val="24"/>
        </w:rPr>
      </w:pPr>
      <w:r w:rsidRPr="00950EE9">
        <w:rPr>
          <w:rFonts w:ascii="华文宋体" w:eastAsia="华文宋体" w:hAnsi="华文宋体"/>
          <w:sz w:val="24"/>
        </w:rPr>
        <w:t>1、服务期限及地点：</w:t>
      </w:r>
      <w:r w:rsidR="00CA25B1">
        <w:rPr>
          <w:rFonts w:ascii="华文宋体" w:eastAsia="华文宋体" w:hAnsi="华文宋体" w:hint="eastAsia"/>
          <w:sz w:val="24"/>
        </w:rPr>
        <w:t>服务点</w:t>
      </w:r>
      <w:r w:rsidRPr="00950EE9">
        <w:rPr>
          <w:rFonts w:ascii="华文宋体" w:eastAsia="华文宋体" w:hAnsi="华文宋体"/>
          <w:sz w:val="24"/>
        </w:rPr>
        <w:t>澳门路726号</w:t>
      </w:r>
      <w:r w:rsidR="00CA25B1">
        <w:rPr>
          <w:rFonts w:ascii="华文宋体" w:eastAsia="华文宋体" w:hAnsi="华文宋体"/>
          <w:sz w:val="24"/>
        </w:rPr>
        <w:t xml:space="preserve"> </w:t>
      </w:r>
      <w:r w:rsidR="00CA25B1">
        <w:rPr>
          <w:rFonts w:ascii="华文宋体" w:eastAsia="华文宋体" w:hAnsi="华文宋体" w:hint="eastAsia"/>
          <w:sz w:val="24"/>
        </w:rPr>
        <w:t>，</w:t>
      </w:r>
      <w:r w:rsidR="00CA25B1" w:rsidRPr="00CA25B1">
        <w:rPr>
          <w:rFonts w:ascii="华文宋体" w:eastAsia="华文宋体" w:hAnsi="华文宋体" w:hint="eastAsia"/>
          <w:sz w:val="24"/>
        </w:rPr>
        <w:t>合同签订后根据甲方指定时间完成</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sz w:val="24"/>
        </w:rPr>
        <w:t>2、付款方式</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一次性验收合格后</w:t>
      </w:r>
      <w:r w:rsidRPr="00950EE9">
        <w:rPr>
          <w:rFonts w:ascii="华文宋体" w:eastAsia="华文宋体" w:hAnsi="华文宋体"/>
          <w:sz w:val="24"/>
        </w:rPr>
        <w:t>10个工作日支付全部费用</w:t>
      </w:r>
    </w:p>
    <w:p w:rsidR="000421EE" w:rsidRPr="000421EE" w:rsidRDefault="00950EE9" w:rsidP="00950EE9">
      <w:pPr>
        <w:widowControl/>
        <w:jc w:val="left"/>
        <w:rPr>
          <w:rFonts w:ascii="华文宋体" w:eastAsia="华文宋体" w:hAnsi="华文宋体"/>
          <w:sz w:val="24"/>
        </w:rPr>
      </w:pPr>
      <w:r w:rsidRPr="00950EE9">
        <w:rPr>
          <w:rFonts w:ascii="华文宋体" w:eastAsia="华文宋体" w:hAnsi="华文宋体"/>
          <w:sz w:val="24"/>
        </w:rPr>
        <w:t>3、验收要求：一次性验收合格</w:t>
      </w:r>
      <w:r w:rsidR="009C3D1A">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pPr>
        <w:numPr>
          <w:ilvl w:val="0"/>
          <w:numId w:val="2"/>
        </w:numPr>
        <w:spacing w:line="360" w:lineRule="auto"/>
        <w:rPr>
          <w:rFonts w:ascii="宋体" w:hAnsi="宋体"/>
          <w:sz w:val="24"/>
        </w:rPr>
      </w:pPr>
      <w:r>
        <w:rPr>
          <w:rFonts w:ascii="宋体" w:hAnsi="宋体" w:hint="eastAsia"/>
          <w:sz w:val="24"/>
        </w:rPr>
        <w:t>我方的报价为（大写）：</w:t>
      </w:r>
      <w:r>
        <w:rPr>
          <w:rFonts w:ascii="宋体" w:hAnsi="宋体" w:hint="eastAsia"/>
          <w:sz w:val="24"/>
          <w:u w:val="single"/>
        </w:rPr>
        <w:t xml:space="preserve">    </w:t>
      </w:r>
      <w:r>
        <w:rPr>
          <w:rFonts w:ascii="宋体" w:hAnsi="宋体" w:hint="eastAsia"/>
          <w:sz w:val="24"/>
        </w:rPr>
        <w:t>元整人民币，服务期限为</w:t>
      </w:r>
      <w:r>
        <w:rPr>
          <w:rFonts w:ascii="宋体" w:hAnsi="宋体" w:hint="eastAsia"/>
          <w:sz w:val="24"/>
          <w:u w:val="single"/>
        </w:rPr>
        <w:t xml:space="preserve">      </w:t>
      </w:r>
      <w:r>
        <w:rPr>
          <w:rFonts w:ascii="宋体" w:hAnsi="宋体" w:hint="eastAsia"/>
          <w:sz w:val="24"/>
        </w:rPr>
        <w:t>。</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sz w:val="24"/>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rsidR="000421EE" w:rsidRDefault="000421EE" w:rsidP="000421EE"/>
    <w:p w:rsidR="009457AD" w:rsidRPr="000421EE" w:rsidRDefault="009457AD">
      <w:pPr>
        <w:widowControl/>
        <w:spacing w:line="360" w:lineRule="auto"/>
        <w:ind w:firstLineChars="150" w:firstLine="315"/>
        <w:jc w:val="left"/>
      </w:pPr>
    </w:p>
    <w:p w:rsidR="009457AD" w:rsidRDefault="009457AD">
      <w:pPr>
        <w:widowControl/>
        <w:spacing w:line="360" w:lineRule="auto"/>
        <w:ind w:firstLineChars="250" w:firstLine="525"/>
        <w:jc w:val="cente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20C" w:rsidRDefault="0072520C"/>
  </w:endnote>
  <w:endnote w:type="continuationSeparator" w:id="0">
    <w:p w:rsidR="0072520C" w:rsidRDefault="00725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20C" w:rsidRDefault="0072520C"/>
  </w:footnote>
  <w:footnote w:type="continuationSeparator" w:id="0">
    <w:p w:rsidR="0072520C" w:rsidRDefault="007252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975"/>
    <w:multiLevelType w:val="singleLevel"/>
    <w:tmpl w:val="03307975"/>
    <w:lvl w:ilvl="0">
      <w:start w:val="5"/>
      <w:numFmt w:val="decimal"/>
      <w:suff w:val="nothing"/>
      <w:lvlText w:val="%1、"/>
      <w:lvlJc w:val="left"/>
    </w:lvl>
  </w:abstractNum>
  <w:abstractNum w:abstractNumId="1">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7C37"/>
    <w:rsid w:val="000C433D"/>
    <w:rsid w:val="000E4744"/>
    <w:rsid w:val="001214D5"/>
    <w:rsid w:val="0014330A"/>
    <w:rsid w:val="001B6E1B"/>
    <w:rsid w:val="001D5418"/>
    <w:rsid w:val="001E38C9"/>
    <w:rsid w:val="00293DF0"/>
    <w:rsid w:val="002F2CD9"/>
    <w:rsid w:val="00366720"/>
    <w:rsid w:val="003A7405"/>
    <w:rsid w:val="003D0DE9"/>
    <w:rsid w:val="00443752"/>
    <w:rsid w:val="00460735"/>
    <w:rsid w:val="00461E0A"/>
    <w:rsid w:val="00472F49"/>
    <w:rsid w:val="00494B13"/>
    <w:rsid w:val="00534982"/>
    <w:rsid w:val="0056425A"/>
    <w:rsid w:val="00576D42"/>
    <w:rsid w:val="005A14E8"/>
    <w:rsid w:val="005B2A8E"/>
    <w:rsid w:val="006110AB"/>
    <w:rsid w:val="006E38DF"/>
    <w:rsid w:val="00715C58"/>
    <w:rsid w:val="0072520C"/>
    <w:rsid w:val="00791534"/>
    <w:rsid w:val="00792EE2"/>
    <w:rsid w:val="007C7EA5"/>
    <w:rsid w:val="007D6C23"/>
    <w:rsid w:val="007F04F3"/>
    <w:rsid w:val="00875040"/>
    <w:rsid w:val="008F2DB8"/>
    <w:rsid w:val="00901D97"/>
    <w:rsid w:val="009161F8"/>
    <w:rsid w:val="009457AD"/>
    <w:rsid w:val="00950EE9"/>
    <w:rsid w:val="009C3D1A"/>
    <w:rsid w:val="009F51BE"/>
    <w:rsid w:val="00A5271F"/>
    <w:rsid w:val="00A61973"/>
    <w:rsid w:val="00A72611"/>
    <w:rsid w:val="00A82DFE"/>
    <w:rsid w:val="00A95D90"/>
    <w:rsid w:val="00AF0AA8"/>
    <w:rsid w:val="00B34559"/>
    <w:rsid w:val="00B71FFD"/>
    <w:rsid w:val="00BB4905"/>
    <w:rsid w:val="00BE7CBB"/>
    <w:rsid w:val="00C15839"/>
    <w:rsid w:val="00C7665D"/>
    <w:rsid w:val="00CA25B1"/>
    <w:rsid w:val="00CE1190"/>
    <w:rsid w:val="00D22741"/>
    <w:rsid w:val="00D77BF9"/>
    <w:rsid w:val="00DF2B38"/>
    <w:rsid w:val="00DF31B8"/>
    <w:rsid w:val="00E02297"/>
    <w:rsid w:val="00E4581E"/>
    <w:rsid w:val="00E46C73"/>
    <w:rsid w:val="00EB437B"/>
    <w:rsid w:val="00EE4BA2"/>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3</cp:revision>
  <dcterms:created xsi:type="dcterms:W3CDTF">2024-09-03T02:07:00Z</dcterms:created>
  <dcterms:modified xsi:type="dcterms:W3CDTF">2024-09-03T02:10:00Z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